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EE7F" w14:textId="77777777" w:rsidR="00712381" w:rsidRDefault="00712381"/>
    <w:p w14:paraId="37F752BB" w14:textId="77777777" w:rsidR="00712381" w:rsidRDefault="00712381"/>
    <w:p w14:paraId="262DAC8C" w14:textId="77777777" w:rsidR="00712381" w:rsidRDefault="00000000">
      <w:pPr>
        <w:jc w:val="center"/>
        <w:rPr>
          <w:b/>
          <w:bCs/>
        </w:rPr>
      </w:pPr>
      <w:r>
        <w:rPr>
          <w:b/>
          <w:bCs/>
        </w:rPr>
        <w:t>OFFRE D’EMPLOI Bac +8</w:t>
      </w:r>
    </w:p>
    <w:p w14:paraId="41413DD1" w14:textId="77777777" w:rsidR="00712381" w:rsidRDefault="00000000">
      <w:pPr>
        <w:jc w:val="center"/>
        <w:rPr>
          <w:b/>
          <w:bCs/>
        </w:rPr>
      </w:pPr>
      <w:r>
        <w:rPr>
          <w:b/>
          <w:bCs/>
        </w:rPr>
        <w:t>POST-DOC : Déployer un cadre opérationnel pour l’évaluation environnementale des systèmes d’élevages territorialisés</w:t>
      </w:r>
    </w:p>
    <w:p w14:paraId="7EED5549" w14:textId="77777777" w:rsidR="00712381" w:rsidRDefault="00712381">
      <w:pPr>
        <w:jc w:val="center"/>
        <w:rPr>
          <w:b/>
          <w:bCs/>
        </w:rPr>
      </w:pPr>
    </w:p>
    <w:p w14:paraId="71EDD3F8" w14:textId="77777777" w:rsidR="00712381" w:rsidRDefault="00000000">
      <w:pPr>
        <w:jc w:val="both"/>
        <w:rPr>
          <w:rStyle w:val="fontstyle01"/>
        </w:rPr>
      </w:pPr>
      <w:r>
        <w:rPr>
          <w:rStyle w:val="fontstyle01"/>
        </w:rPr>
        <w:t>L’Institut national de recherche pour l’agriculture, l’alimentation et l’environnement (INRAE) est un</w:t>
      </w:r>
      <w:r>
        <w:rPr>
          <w:rFonts w:ascii="Calibri" w:hAnsi="Calibri" w:cs="Calibri"/>
          <w:i/>
          <w:iCs/>
          <w:color w:val="000000"/>
        </w:rPr>
        <w:br/>
      </w:r>
      <w:r>
        <w:rPr>
          <w:rStyle w:val="fontstyle01"/>
        </w:rPr>
        <w:t>établissement public de recherche rassemblant une communauté de travail de 12 000 personnes, avec 272 unités de recherche, de service et expérimentales, implantées dans 18 centres sur toute la France. INRAE se positionne parmi les tout premiers leaders mondiaux en sciences agricoles et alimentaires, en sciences du végétal et de l’animal. Ses recherches visent à construire des solutions</w:t>
      </w:r>
      <w:r>
        <w:rPr>
          <w:rFonts w:ascii="Calibri" w:hAnsi="Calibri" w:cs="Calibri"/>
          <w:i/>
          <w:iCs/>
          <w:color w:val="000000"/>
        </w:rPr>
        <w:br/>
      </w:r>
      <w:r>
        <w:rPr>
          <w:rStyle w:val="fontstyle01"/>
        </w:rPr>
        <w:t>pour des agricultures multi-performantes, une alimentation de qualité et une gestion durable des ressources et des écosystèmes</w:t>
      </w:r>
    </w:p>
    <w:p w14:paraId="4BE9B413" w14:textId="77777777" w:rsidR="00712381" w:rsidRDefault="00000000">
      <w:pPr>
        <w:jc w:val="both"/>
        <w:rPr>
          <w:rStyle w:val="fontstyle01"/>
          <w:b/>
          <w:bCs/>
          <w:i w:val="0"/>
          <w:iCs w:val="0"/>
        </w:rPr>
      </w:pPr>
      <w:r>
        <w:rPr>
          <w:rStyle w:val="fontstyle01"/>
          <w:b/>
          <w:bCs/>
          <w:i w:val="0"/>
          <w:iCs w:val="0"/>
        </w:rPr>
        <w:t xml:space="preserve">Contexte et objectifs </w:t>
      </w:r>
    </w:p>
    <w:p w14:paraId="5FAE14CB" w14:textId="77777777" w:rsidR="00712381" w:rsidRDefault="00000000">
      <w:pPr>
        <w:jc w:val="both"/>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Les activités d’élevage sont aujourd’hui largement remises en question au regard de leurs impacts environnementaux</w:t>
      </w:r>
      <w:r>
        <w:rPr>
          <w:rFonts w:ascii="Calibri" w:eastAsia="Times New Roman" w:hAnsi="Calibri" w:cs="Calibri"/>
          <w:b/>
          <w:bCs/>
          <w:color w:val="000000"/>
          <w:lang w:eastAsia="fr-FR"/>
        </w:rPr>
        <w:t xml:space="preserve">, </w:t>
      </w:r>
      <w:r>
        <w:rPr>
          <w:rFonts w:ascii="Calibri" w:eastAsia="Times New Roman" w:hAnsi="Calibri" w:cs="Calibri"/>
          <w:color w:val="000000"/>
          <w:lang w:eastAsia="fr-FR"/>
        </w:rPr>
        <w:t>mais aussi</w:t>
      </w:r>
      <w:r>
        <w:rPr>
          <w:rFonts w:ascii="Calibri" w:eastAsia="Times New Roman" w:hAnsi="Calibri" w:cs="Calibri"/>
          <w:b/>
          <w:bCs/>
          <w:color w:val="000000"/>
          <w:lang w:eastAsia="fr-FR"/>
        </w:rPr>
        <w:t xml:space="preserve"> </w:t>
      </w:r>
      <w:r>
        <w:rPr>
          <w:rFonts w:ascii="Calibri" w:eastAsia="Times New Roman" w:hAnsi="Calibri" w:cs="Calibri"/>
          <w:color w:val="000000"/>
          <w:lang w:eastAsia="fr-FR"/>
        </w:rPr>
        <w:t>sanitaires</w:t>
      </w:r>
      <w:r>
        <w:rPr>
          <w:rFonts w:ascii="Calibri" w:eastAsia="Times New Roman" w:hAnsi="Calibri" w:cs="Calibri"/>
          <w:b/>
          <w:bCs/>
          <w:color w:val="000000"/>
          <w:lang w:eastAsia="fr-FR"/>
        </w:rPr>
        <w:t xml:space="preserve">, </w:t>
      </w:r>
      <w:r>
        <w:rPr>
          <w:rFonts w:ascii="Calibri" w:eastAsia="Times New Roman" w:hAnsi="Calibri" w:cs="Calibri"/>
          <w:color w:val="000000"/>
          <w:lang w:eastAsia="fr-FR"/>
        </w:rPr>
        <w:t>éthiques</w:t>
      </w:r>
      <w:r>
        <w:rPr>
          <w:rFonts w:ascii="Calibri" w:eastAsia="Times New Roman" w:hAnsi="Calibri" w:cs="Calibri"/>
          <w:b/>
          <w:bCs/>
          <w:color w:val="000000"/>
          <w:lang w:eastAsia="fr-FR"/>
        </w:rPr>
        <w:t xml:space="preserve">, </w:t>
      </w:r>
      <w:r>
        <w:rPr>
          <w:rFonts w:ascii="Calibri" w:eastAsia="Times New Roman" w:hAnsi="Calibri" w:cs="Calibri"/>
          <w:color w:val="000000"/>
          <w:lang w:eastAsia="fr-FR"/>
        </w:rPr>
        <w:t>sociaux, ou encore économiques. La spécialisation et l’intensification des exploitations agricoles, couplées à une spécialisation territoriale ont largement contribué à ces problématiques environnementales.</w:t>
      </w:r>
      <w:r>
        <w:rPr>
          <w:rFonts w:ascii="Calibri" w:hAnsi="Calibri" w:cs="Calibri"/>
          <w:color w:val="000000"/>
        </w:rPr>
        <w:t xml:space="preserve"> </w:t>
      </w:r>
      <w:r>
        <w:rPr>
          <w:rStyle w:val="docdata"/>
          <w:rFonts w:ascii="Calibri" w:hAnsi="Calibri" w:cs="Calibri"/>
          <w:color w:val="000000"/>
        </w:rPr>
        <w:t>Au-delà des impacts environnementaux directs, l’élevage est également fortement questionné du fait de la compétition accrue pour les ressources notamment en biomasse par les besoins croissants nécessaires à la transition énergétique</w:t>
      </w:r>
      <w:r>
        <w:rPr>
          <w:rFonts w:ascii="Calibri" w:hAnsi="Calibri" w:cs="Calibri"/>
          <w:color w:val="000000"/>
        </w:rPr>
        <w:t xml:space="preserve">. </w:t>
      </w:r>
      <w:r>
        <w:rPr>
          <w:rFonts w:ascii="Calibri" w:eastAsia="Times New Roman" w:hAnsi="Calibri" w:cs="Calibri"/>
          <w:color w:val="000000"/>
          <w:lang w:eastAsia="fr-FR"/>
        </w:rPr>
        <w:t xml:space="preserve">Le projet CEDRE, bénéficiant d’un financement </w:t>
      </w:r>
      <w:proofErr w:type="spellStart"/>
      <w:r>
        <w:rPr>
          <w:rFonts w:ascii="Calibri" w:eastAsia="Times New Roman" w:hAnsi="Calibri" w:cs="Calibri"/>
          <w:color w:val="000000"/>
          <w:lang w:eastAsia="fr-FR"/>
        </w:rPr>
        <w:t>Agralife</w:t>
      </w:r>
      <w:proofErr w:type="spellEnd"/>
      <w:r>
        <w:rPr>
          <w:rFonts w:ascii="Calibri" w:eastAsia="Times New Roman" w:hAnsi="Calibri" w:cs="Calibri"/>
          <w:color w:val="000000"/>
          <w:lang w:eastAsia="fr-FR"/>
        </w:rPr>
        <w:t>, fait l’hypothèse qu’un développement de la complémentarité entre espèces animales et végétales au sein des territoires est à même de réduire la pression des activités d’élevage sur les ressources et leurs impacts environnementaux, via l’optimisation de la circularité et du recyclage des ressources et des nutriments. Des méthodes d’évaluation quantitatives sont nécessaires pour quantifier les performances environnementales de ces nouveaux modes de production au sein des territoires, identifier les fausses bonnes idées et prioriser les actions à mener.  La personne recrutée aura pour objectifs de construire un cadre méthodologique opérationnel pour évaluer la durabilité environnementale des systèmes d’élevage à l’échelle territoriale. Ce cadre mobilisera les outils et les concepts tels que l’Analyse du cycle de Vie (ACV), le métabolisme territorial, ou les services écosystémiques. Le concept de limites planétaires sera également mobilisé, et adapté.</w:t>
      </w:r>
      <w:r>
        <w:rPr>
          <w:rFonts w:ascii="Calibri" w:hAnsi="Calibri" w:cs="Calibri"/>
          <w:color w:val="000000"/>
        </w:rPr>
        <w:t xml:space="preserve"> </w:t>
      </w:r>
      <w:r>
        <w:rPr>
          <w:rFonts w:ascii="Calibri" w:eastAsia="Times New Roman" w:hAnsi="Calibri" w:cs="Calibri"/>
          <w:color w:val="000000"/>
          <w:lang w:eastAsia="fr-FR"/>
        </w:rPr>
        <w:t xml:space="preserve">L’agriculture, et notamment l’élevage, est aujourd’hui considérée comme l’une des principales activités contribuant au dépassement de six </w:t>
      </w:r>
      <w:proofErr w:type="gramStart"/>
      <w:r>
        <w:rPr>
          <w:rFonts w:ascii="Calibri" w:eastAsia="Times New Roman" w:hAnsi="Calibri" w:cs="Calibri"/>
          <w:color w:val="000000"/>
          <w:lang w:eastAsia="fr-FR"/>
        </w:rPr>
        <w:t>des neufs limites planétaires</w:t>
      </w:r>
      <w:proofErr w:type="gramEnd"/>
      <w:r>
        <w:rPr>
          <w:rFonts w:ascii="Calibri" w:eastAsia="Times New Roman" w:hAnsi="Calibri" w:cs="Calibri"/>
          <w:color w:val="000000"/>
          <w:lang w:eastAsia="fr-FR"/>
        </w:rPr>
        <w:t xml:space="preserve">. Pour autant, l’échelle globale à laquelle sont appréciées ces limites nécessite un ajustement territorialisé pour les rendre opérantes vis-à-vis des questions d’impacts environnementaux associés aux systèmes d’élevages dans les territoires dans lesquels ils s’inscrivent notamment en considérant leurs capacités de charge locales.  Ce cadre sera ensuite décliné en un ensemble d’indicateurs et mis en œuvre sur deux études de cas contrastées, à travers le développement d’un outil opérationnel générique. </w:t>
      </w:r>
    </w:p>
    <w:p w14:paraId="34608C0F" w14:textId="77777777" w:rsidR="00712381" w:rsidRDefault="00712381">
      <w:pPr>
        <w:jc w:val="both"/>
        <w:rPr>
          <w:rStyle w:val="fontstyle01"/>
          <w:b/>
          <w:bCs/>
          <w:i w:val="0"/>
          <w:iCs w:val="0"/>
        </w:rPr>
      </w:pPr>
    </w:p>
    <w:p w14:paraId="76E9ECE5" w14:textId="77777777" w:rsidR="00712381" w:rsidRDefault="00000000">
      <w:pPr>
        <w:jc w:val="both"/>
        <w:rPr>
          <w:rStyle w:val="fontstyle01"/>
          <w:b/>
          <w:bCs/>
          <w:i w:val="0"/>
          <w:iCs w:val="0"/>
        </w:rPr>
      </w:pPr>
      <w:r>
        <w:rPr>
          <w:rStyle w:val="fontstyle01"/>
          <w:b/>
          <w:bCs/>
          <w:i w:val="0"/>
          <w:iCs w:val="0"/>
        </w:rPr>
        <w:t>Profil recherché</w:t>
      </w:r>
    </w:p>
    <w:p w14:paraId="0731F80B" w14:textId="77777777" w:rsidR="00712381" w:rsidRDefault="00000000">
      <w:pPr>
        <w:jc w:val="both"/>
        <w:rPr>
          <w:rStyle w:val="fontstyle01"/>
          <w:b/>
          <w:bCs/>
          <w:i w:val="0"/>
          <w:iCs w:val="0"/>
        </w:rPr>
      </w:pPr>
      <w:proofErr w:type="spellStart"/>
      <w:r>
        <w:rPr>
          <w:rStyle w:val="fontstyle01"/>
          <w:i w:val="0"/>
          <w:iCs w:val="0"/>
        </w:rPr>
        <w:t>Post-doctorant</w:t>
      </w:r>
      <w:proofErr w:type="spellEnd"/>
      <w:r>
        <w:rPr>
          <w:rStyle w:val="fontstyle01"/>
          <w:i w:val="0"/>
          <w:iCs w:val="0"/>
        </w:rPr>
        <w:t xml:space="preserve"> spécialisé en sciences de l’environnement et ayant des compétences en ACV, ou en analyse multicritère et en outils de programmation (Python ou R) ainsi qu’en modélisation et </w:t>
      </w:r>
      <w:r>
        <w:rPr>
          <w:rStyle w:val="fontstyle01"/>
          <w:i w:val="0"/>
          <w:iCs w:val="0"/>
        </w:rPr>
        <w:lastRenderedPageBreak/>
        <w:t xml:space="preserve">développement d’outils d’évaluation. Une appétence pour l’agriculture, le métabolisme territorial et l’élevage est appréciée. </w:t>
      </w:r>
      <w:r>
        <w:t>Le poste requiert également un fort intérêt pour le travail interdisciplinaire et collectif, ainsi que de bonnes aptitudes en communication orale et écrite.</w:t>
      </w:r>
    </w:p>
    <w:p w14:paraId="23057260" w14:textId="77777777" w:rsidR="00712381" w:rsidRDefault="00712381">
      <w:pPr>
        <w:jc w:val="both"/>
        <w:rPr>
          <w:rStyle w:val="fontstyle01"/>
          <w:b/>
          <w:bCs/>
          <w:i w:val="0"/>
          <w:iCs w:val="0"/>
        </w:rPr>
      </w:pPr>
    </w:p>
    <w:p w14:paraId="23017F14" w14:textId="77777777" w:rsidR="00712381" w:rsidRDefault="00000000">
      <w:pPr>
        <w:jc w:val="both"/>
        <w:rPr>
          <w:rStyle w:val="fontstyle01"/>
          <w:b/>
          <w:bCs/>
          <w:i w:val="0"/>
          <w:iCs w:val="0"/>
        </w:rPr>
      </w:pPr>
      <w:r>
        <w:rPr>
          <w:rStyle w:val="fontstyle01"/>
          <w:b/>
          <w:bCs/>
          <w:i w:val="0"/>
          <w:iCs w:val="0"/>
        </w:rPr>
        <w:t>Unités d’accueil</w:t>
      </w:r>
    </w:p>
    <w:p w14:paraId="0B74F092" w14:textId="77777777" w:rsidR="00712381" w:rsidRDefault="00000000">
      <w:pPr>
        <w:jc w:val="both"/>
        <w:rPr>
          <w:rFonts w:ascii="Calibri" w:hAnsi="Calibri" w:cs="Calibri"/>
          <w:color w:val="000000"/>
        </w:rPr>
      </w:pPr>
      <w:r>
        <w:rPr>
          <w:rFonts w:ascii="Calibri" w:hAnsi="Calibri" w:cs="Calibri"/>
          <w:color w:val="000000"/>
        </w:rPr>
        <w:t xml:space="preserve">Le poste est à cheval sur deux unités de recherche, et la personne recrutée aura la possibilité de choisir </w:t>
      </w:r>
      <w:proofErr w:type="gramStart"/>
      <w:r>
        <w:rPr>
          <w:rFonts w:ascii="Calibri" w:hAnsi="Calibri" w:cs="Calibri"/>
          <w:color w:val="000000"/>
        </w:rPr>
        <w:t>son</w:t>
      </w:r>
      <w:proofErr w:type="gramEnd"/>
      <w:r>
        <w:rPr>
          <w:rFonts w:ascii="Calibri" w:hAnsi="Calibri" w:cs="Calibri"/>
          <w:color w:val="000000"/>
        </w:rPr>
        <w:t xml:space="preserve"> lieu d’affectation en fonction de ses convenances personnelles. Des séjours sur l’autre site seront à prévoir sur la durée de la mission.</w:t>
      </w:r>
    </w:p>
    <w:p w14:paraId="203DBD66" w14:textId="77777777" w:rsidR="00712381" w:rsidRDefault="00000000">
      <w:pPr>
        <w:jc w:val="both"/>
        <w:rPr>
          <w:rFonts w:ascii="Calibri" w:hAnsi="Calibri" w:cs="Calibri"/>
          <w:color w:val="000000"/>
        </w:rPr>
      </w:pPr>
      <w:r>
        <w:rPr>
          <w:rFonts w:ascii="Calibri" w:hAnsi="Calibri" w:cs="Calibri"/>
          <w:color w:val="000000"/>
        </w:rPr>
        <w:t xml:space="preserve">Montpellier : Vous serez </w:t>
      </w:r>
      <w:proofErr w:type="spellStart"/>
      <w:proofErr w:type="gramStart"/>
      <w:r>
        <w:rPr>
          <w:rFonts w:ascii="Calibri" w:hAnsi="Calibri" w:cs="Calibri"/>
          <w:color w:val="000000"/>
        </w:rPr>
        <w:t>accueilli.e</w:t>
      </w:r>
      <w:proofErr w:type="spellEnd"/>
      <w:proofErr w:type="gramEnd"/>
      <w:r>
        <w:rPr>
          <w:rFonts w:ascii="Calibri" w:hAnsi="Calibri" w:cs="Calibri"/>
          <w:color w:val="000000"/>
        </w:rPr>
        <w:t xml:space="preserve"> au sein de l’unité de recherche ITAP (unité commune INRAE - Institut Agro, Montpellier), dans les locaux de l’Institut Agro de Montpellier, sur le campus de la Gaillarde (10 minutes en vélo du centre-ville et de la gare).</w:t>
      </w:r>
    </w:p>
    <w:p w14:paraId="7B97B9E8" w14:textId="77777777" w:rsidR="00712381" w:rsidRDefault="00000000">
      <w:pPr>
        <w:jc w:val="both"/>
        <w:rPr>
          <w:rFonts w:ascii="Calibri" w:hAnsi="Calibri" w:cs="Calibri"/>
          <w:color w:val="000000"/>
        </w:rPr>
      </w:pPr>
      <w:r>
        <w:rPr>
          <w:rFonts w:ascii="Calibri" w:hAnsi="Calibri" w:cs="Calibri"/>
          <w:color w:val="000000"/>
        </w:rPr>
        <w:t xml:space="preserve">Rennes : Vous serez </w:t>
      </w:r>
      <w:proofErr w:type="spellStart"/>
      <w:proofErr w:type="gramStart"/>
      <w:r>
        <w:rPr>
          <w:rFonts w:ascii="Calibri" w:hAnsi="Calibri" w:cs="Calibri"/>
          <w:color w:val="000000"/>
        </w:rPr>
        <w:t>accueilli.e</w:t>
      </w:r>
      <w:proofErr w:type="spellEnd"/>
      <w:proofErr w:type="gramEnd"/>
      <w:r>
        <w:rPr>
          <w:rFonts w:ascii="Calibri" w:hAnsi="Calibri" w:cs="Calibri"/>
          <w:color w:val="000000"/>
        </w:rPr>
        <w:t xml:space="preserve"> au sein de l’unité de recherche SAS (unité commune INRAE - Institut Agro, Rennes-Angers), dans les locaux de l’Institut Agro de Rennes-Angers, sur le campus de Rennes (15 minutes en vélo du centre-ville et de la gare).</w:t>
      </w:r>
    </w:p>
    <w:p w14:paraId="06C400E8" w14:textId="77777777" w:rsidR="00712381" w:rsidRDefault="00000000">
      <w:pPr>
        <w:jc w:val="both"/>
        <w:rPr>
          <w:rStyle w:val="fontstyle01"/>
          <w:b/>
          <w:bCs/>
          <w:i w:val="0"/>
          <w:iCs w:val="0"/>
        </w:rPr>
      </w:pPr>
      <w:r>
        <w:rPr>
          <w:rFonts w:ascii="Calibri" w:hAnsi="Calibri" w:cs="Calibri"/>
          <w:color w:val="000000"/>
        </w:rPr>
        <w:t>Possibilité de télétravail jusqu’à 3 jours par semaine</w:t>
      </w:r>
    </w:p>
    <w:tbl>
      <w:tblPr>
        <w:tblStyle w:val="Grilledutableau"/>
        <w:tblW w:w="0" w:type="auto"/>
        <w:tblBorders>
          <w:top w:val="single" w:sz="36" w:space="0" w:color="1BB18D"/>
          <w:left w:val="single" w:sz="36" w:space="0" w:color="1BB18D"/>
          <w:bottom w:val="single" w:sz="36" w:space="0" w:color="1BB18D"/>
          <w:right w:val="single" w:sz="36" w:space="0" w:color="1BB18D"/>
        </w:tblBorders>
        <w:tblLook w:val="04A0" w:firstRow="1" w:lastRow="0" w:firstColumn="1" w:lastColumn="0" w:noHBand="0" w:noVBand="1"/>
      </w:tblPr>
      <w:tblGrid>
        <w:gridCol w:w="4208"/>
        <w:gridCol w:w="425"/>
        <w:gridCol w:w="4349"/>
      </w:tblGrid>
      <w:tr w:rsidR="00712381" w14:paraId="7D106B42" w14:textId="77777777">
        <w:tc>
          <w:tcPr>
            <w:tcW w:w="4208" w:type="dxa"/>
          </w:tcPr>
          <w:p w14:paraId="28636F11" w14:textId="77777777" w:rsidR="00712381" w:rsidRDefault="00000000">
            <w:pPr>
              <w:jc w:val="both"/>
              <w:rPr>
                <w:b/>
                <w:bCs/>
              </w:rPr>
            </w:pPr>
            <w:r>
              <w:rPr>
                <w:b/>
                <w:bCs/>
              </w:rPr>
              <w:t>Modalités d’accueil</w:t>
            </w:r>
          </w:p>
          <w:p w14:paraId="09A8AE27" w14:textId="77777777" w:rsidR="00712381" w:rsidRDefault="00712381">
            <w:pPr>
              <w:jc w:val="both"/>
              <w:rPr>
                <w:b/>
                <w:bCs/>
              </w:rPr>
            </w:pPr>
          </w:p>
          <w:p w14:paraId="272DD2E1" w14:textId="77777777" w:rsidR="00712381" w:rsidRDefault="00000000">
            <w:pPr>
              <w:jc w:val="both"/>
            </w:pPr>
            <w:r>
              <w:t xml:space="preserve">Unité : </w:t>
            </w:r>
            <w:proofErr w:type="spellStart"/>
            <w:r>
              <w:t>UMRs</w:t>
            </w:r>
            <w:proofErr w:type="spellEnd"/>
            <w:r>
              <w:t xml:space="preserve"> ITAP et SAS</w:t>
            </w:r>
          </w:p>
          <w:p w14:paraId="23FFCADF" w14:textId="77777777" w:rsidR="00712381" w:rsidRDefault="00712381">
            <w:pPr>
              <w:jc w:val="both"/>
            </w:pPr>
          </w:p>
          <w:p w14:paraId="27168B47" w14:textId="77777777" w:rsidR="00712381" w:rsidRDefault="00000000">
            <w:pPr>
              <w:jc w:val="both"/>
            </w:pPr>
            <w:r>
              <w:t>Localisation : Montpellier et/ou Rennes</w:t>
            </w:r>
          </w:p>
          <w:p w14:paraId="26E9FA76" w14:textId="77777777" w:rsidR="00712381" w:rsidRDefault="00712381">
            <w:pPr>
              <w:jc w:val="both"/>
            </w:pPr>
          </w:p>
          <w:p w14:paraId="793A4845" w14:textId="77777777" w:rsidR="00712381" w:rsidRDefault="00000000">
            <w:pPr>
              <w:jc w:val="both"/>
            </w:pPr>
            <w:r>
              <w:t>Type de contrat : CDD de droit public</w:t>
            </w:r>
          </w:p>
          <w:p w14:paraId="4BF3833D" w14:textId="77777777" w:rsidR="00712381" w:rsidRDefault="00712381">
            <w:pPr>
              <w:jc w:val="both"/>
            </w:pPr>
          </w:p>
          <w:p w14:paraId="57FEA4E2" w14:textId="77777777" w:rsidR="00712381" w:rsidRDefault="00000000">
            <w:pPr>
              <w:jc w:val="both"/>
            </w:pPr>
            <w:r>
              <w:t>Durée de contrat : 15 mois éventuellement renouvelable</w:t>
            </w:r>
          </w:p>
          <w:p w14:paraId="5F085741" w14:textId="77777777" w:rsidR="00712381" w:rsidRDefault="00712381">
            <w:pPr>
              <w:jc w:val="both"/>
            </w:pPr>
          </w:p>
          <w:p w14:paraId="5E083AB1" w14:textId="77777777" w:rsidR="00712381" w:rsidRDefault="00000000">
            <w:pPr>
              <w:jc w:val="both"/>
            </w:pPr>
            <w:r>
              <w:t>Date d’entrée en fonction : Entre Mars et Avril 2026</w:t>
            </w:r>
          </w:p>
          <w:p w14:paraId="7CC08F95" w14:textId="77777777" w:rsidR="00712381" w:rsidRDefault="00712381">
            <w:pPr>
              <w:jc w:val="both"/>
              <w:rPr>
                <w:b/>
                <w:bCs/>
              </w:rPr>
            </w:pPr>
          </w:p>
          <w:p w14:paraId="02514DEE" w14:textId="77777777" w:rsidR="00712381" w:rsidRDefault="00000000">
            <w:pPr>
              <w:jc w:val="both"/>
              <w:rPr>
                <w:b/>
                <w:bCs/>
              </w:rPr>
            </w:pPr>
            <w:r>
              <w:t>Rémunération</w:t>
            </w:r>
            <w:r>
              <w:rPr>
                <w:b/>
                <w:bCs/>
              </w:rPr>
              <w:t xml:space="preserve"> :  </w:t>
            </w:r>
            <w:r>
              <w:t xml:space="preserve">3135 € brut mensuel </w:t>
            </w:r>
          </w:p>
          <w:p w14:paraId="04274E40" w14:textId="77777777" w:rsidR="00712381" w:rsidRDefault="00712381">
            <w:pPr>
              <w:jc w:val="both"/>
              <w:rPr>
                <w:b/>
                <w:bCs/>
              </w:rPr>
            </w:pPr>
          </w:p>
        </w:tc>
        <w:tc>
          <w:tcPr>
            <w:tcW w:w="425" w:type="dxa"/>
            <w:shd w:val="clear" w:color="auto" w:fill="1BB18D"/>
          </w:tcPr>
          <w:p w14:paraId="72F195DC" w14:textId="77777777" w:rsidR="00712381" w:rsidRDefault="00712381">
            <w:pPr>
              <w:jc w:val="both"/>
              <w:rPr>
                <w:b/>
                <w:bCs/>
              </w:rPr>
            </w:pPr>
          </w:p>
        </w:tc>
        <w:tc>
          <w:tcPr>
            <w:tcW w:w="4349" w:type="dxa"/>
          </w:tcPr>
          <w:p w14:paraId="390F1AFD" w14:textId="77777777" w:rsidR="00712381" w:rsidRDefault="00000000">
            <w:pPr>
              <w:jc w:val="both"/>
              <w:rPr>
                <w:b/>
                <w:bCs/>
              </w:rPr>
            </w:pPr>
            <w:r>
              <w:rPr>
                <w:b/>
                <w:bCs/>
              </w:rPr>
              <w:t>Modalités pour postuler</w:t>
            </w:r>
          </w:p>
          <w:p w14:paraId="138B3334" w14:textId="77777777" w:rsidR="00712381" w:rsidRDefault="00712381">
            <w:pPr>
              <w:jc w:val="both"/>
              <w:rPr>
                <w:b/>
                <w:bCs/>
              </w:rPr>
            </w:pPr>
          </w:p>
          <w:p w14:paraId="5E381CD1" w14:textId="77777777" w:rsidR="00712381" w:rsidRDefault="00000000">
            <w:pPr>
              <w:jc w:val="both"/>
            </w:pPr>
            <w:r>
              <w:t>Transmettre un CV et une lettre de motivation à :</w:t>
            </w:r>
          </w:p>
          <w:p w14:paraId="29B67058" w14:textId="77777777" w:rsidR="00712381" w:rsidRDefault="00712381">
            <w:pPr>
              <w:jc w:val="both"/>
            </w:pPr>
          </w:p>
          <w:p w14:paraId="5700A174" w14:textId="77777777" w:rsidR="00712381" w:rsidRDefault="00000000">
            <w:pPr>
              <w:jc w:val="both"/>
            </w:pPr>
            <w:r>
              <w:t>Aurélie Wilfart et Eléonore Loiseau</w:t>
            </w:r>
          </w:p>
          <w:p w14:paraId="4E3ED5E7" w14:textId="77777777" w:rsidR="00712381" w:rsidRDefault="00712381">
            <w:pPr>
              <w:jc w:val="both"/>
            </w:pPr>
          </w:p>
          <w:p w14:paraId="5BA0D4EF" w14:textId="77777777" w:rsidR="00712381" w:rsidRDefault="00000000">
            <w:pPr>
              <w:jc w:val="both"/>
            </w:pPr>
            <w:hyperlink r:id="rId7" w:tooltip="mailto:Aurelie.wilfart@inrae.fr" w:history="1">
              <w:r>
                <w:rPr>
                  <w:rStyle w:val="Lienhypertexte"/>
                </w:rPr>
                <w:t>Aurelie.wilfart@inrae.fr</w:t>
              </w:r>
            </w:hyperlink>
          </w:p>
          <w:p w14:paraId="4415C2BE" w14:textId="77777777" w:rsidR="00712381" w:rsidRDefault="00000000">
            <w:pPr>
              <w:jc w:val="both"/>
            </w:pPr>
            <w:hyperlink r:id="rId8" w:tooltip="mailto:Eleonore.loiseau@inrae.fr" w:history="1">
              <w:r>
                <w:rPr>
                  <w:rStyle w:val="Lienhypertexte"/>
                </w:rPr>
                <w:t>Eleonore.loiseau@inrae.fr</w:t>
              </w:r>
            </w:hyperlink>
          </w:p>
          <w:p w14:paraId="11DCDEC6" w14:textId="77777777" w:rsidR="00712381" w:rsidRDefault="00712381">
            <w:pPr>
              <w:jc w:val="both"/>
            </w:pPr>
          </w:p>
          <w:p w14:paraId="615B0D0C" w14:textId="77777777" w:rsidR="00712381" w:rsidRDefault="00000000">
            <w:pPr>
              <w:jc w:val="both"/>
              <w:rPr>
                <w:b/>
                <w:bCs/>
              </w:rPr>
            </w:pPr>
            <w:r>
              <w:t>Date Limite de candidature</w:t>
            </w:r>
            <w:r>
              <w:rPr>
                <w:b/>
                <w:bCs/>
              </w:rPr>
              <w:t> : 15/02/2026</w:t>
            </w:r>
          </w:p>
        </w:tc>
      </w:tr>
    </w:tbl>
    <w:p w14:paraId="79EFC460" w14:textId="77777777" w:rsidR="00712381" w:rsidRDefault="00712381">
      <w:pPr>
        <w:jc w:val="both"/>
        <w:rPr>
          <w:b/>
          <w:bCs/>
        </w:rPr>
      </w:pPr>
    </w:p>
    <w:sectPr w:rsidR="00712381">
      <w:headerReference w:type="default" r:id="rId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60B9E" w14:textId="77777777" w:rsidR="00877578" w:rsidRDefault="00877578">
      <w:pPr>
        <w:spacing w:after="0" w:line="240" w:lineRule="auto"/>
      </w:pPr>
      <w:r>
        <w:separator/>
      </w:r>
    </w:p>
  </w:endnote>
  <w:endnote w:type="continuationSeparator" w:id="0">
    <w:p w14:paraId="08FDC80C" w14:textId="77777777" w:rsidR="00877578" w:rsidRDefault="00877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666A" w14:textId="77777777" w:rsidR="00877578" w:rsidRDefault="00877578">
      <w:pPr>
        <w:spacing w:after="0" w:line="240" w:lineRule="auto"/>
      </w:pPr>
      <w:r>
        <w:separator/>
      </w:r>
    </w:p>
  </w:footnote>
  <w:footnote w:type="continuationSeparator" w:id="0">
    <w:p w14:paraId="3DCBFD12" w14:textId="77777777" w:rsidR="00877578" w:rsidRDefault="00877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B24E" w14:textId="77777777" w:rsidR="00712381" w:rsidRDefault="00000000">
    <w:pPr>
      <w:pStyle w:val="En-tte"/>
    </w:pPr>
    <w:r>
      <w:rPr>
        <w:noProof/>
      </w:rPr>
      <mc:AlternateContent>
        <mc:Choice Requires="wpg">
          <w:drawing>
            <wp:anchor distT="0" distB="0" distL="114300" distR="114300" simplePos="0" relativeHeight="251659264" behindDoc="0" locked="0" layoutInCell="1" allowOverlap="1" wp14:anchorId="3FB0E2A9" wp14:editId="7FF431E0">
              <wp:simplePos x="0" y="0"/>
              <wp:positionH relativeFrom="column">
                <wp:posOffset>-108585</wp:posOffset>
              </wp:positionH>
              <wp:positionV relativeFrom="paragraph">
                <wp:posOffset>-57785</wp:posOffset>
              </wp:positionV>
              <wp:extent cx="1694570" cy="468000"/>
              <wp:effectExtent l="0" t="0" r="1270" b="8255"/>
              <wp:wrapNone/>
              <wp:docPr id="1" name="Groupe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94570" cy="468000"/>
                        <a:chOff x="0" y="0"/>
                        <a:chExt cx="2968158" cy="819150"/>
                      </a:xfrm>
                    </wpg:grpSpPr>
                    <pic:pic xmlns:pic="http://schemas.openxmlformats.org/drawingml/2006/picture">
                      <pic:nvPicPr>
                        <pic:cNvPr id="4" name="Image 4"/>
                        <pic:cNvPicPr/>
                      </pic:nvPicPr>
                      <pic:blipFill rotWithShape="1">
                        <a:blip r:embed="rId1"/>
                        <a:stretch/>
                      </pic:blipFill>
                      <pic:spPr bwMode="auto">
                        <a:xfrm>
                          <a:off x="0" y="0"/>
                          <a:ext cx="903605" cy="819150"/>
                        </a:xfrm>
                        <a:prstGeom prst="rect">
                          <a:avLst/>
                        </a:prstGeom>
                      </pic:spPr>
                    </pic:pic>
                    <pic:pic xmlns:pic="http://schemas.openxmlformats.org/drawingml/2006/picture">
                      <pic:nvPicPr>
                        <pic:cNvPr id="5" name="Image 5"/>
                        <pic:cNvPicPr/>
                      </pic:nvPicPr>
                      <pic:blipFill rotWithShape="1">
                        <a:blip r:embed="rId2"/>
                        <a:stretch/>
                      </pic:blipFill>
                      <pic:spPr bwMode="auto">
                        <a:xfrm>
                          <a:off x="1015533" y="152400"/>
                          <a:ext cx="1952625" cy="51435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0" o:spid="_x0000_s0000" style="position:absolute;z-index:251659264;o:allowoverlap:true;o:allowincell:true;mso-position-horizontal-relative:text;margin-left:-8.55pt;mso-position-horizontal:absolute;mso-position-vertical-relative:text;margin-top:-4.55pt;mso-position-vertical:absolute;width:133.43pt;height:36.85pt;mso-wrap-distance-left:9.00pt;mso-wrap-distance-top:0.00pt;mso-wrap-distance-right:9.00pt;mso-wrap-distance-bottom:0.00pt;" coordorigin="0,0" coordsize="29681,8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left:0;top:0;width:9036;height:8191;z-index:1;" stroked="false">
                <v:imagedata r:id="rId3"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10155;top:1524;width:19526;height:5143;z-index:1;" stroked="false">
                <v:imagedata r:id="rId4" o:title=""/>
                <o:lock v:ext="edit" rotation="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D73BF"/>
    <w:multiLevelType w:val="multilevel"/>
    <w:tmpl w:val="D958B22E"/>
    <w:lvl w:ilvl="0">
      <w:start w:val="26"/>
      <w:numFmt w:val="bullet"/>
      <w:lvlText w:val="-"/>
      <w:lvlJc w:val="left"/>
      <w:pPr>
        <w:ind w:left="720" w:hanging="360"/>
      </w:pPr>
      <w:rPr>
        <w:rFonts w:ascii="Calibri" w:eastAsia="Times New Roman" w:hAnsi="Calibri" w:cs="Calibri" w:hint="default"/>
        <w:color w:val="00000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F735A5C"/>
    <w:multiLevelType w:val="multilevel"/>
    <w:tmpl w:val="D4044136"/>
    <w:lvl w:ilvl="0">
      <w:start w:val="26"/>
      <w:numFmt w:val="bullet"/>
      <w:lvlText w:val="-"/>
      <w:lvlJc w:val="left"/>
      <w:pPr>
        <w:ind w:left="720" w:hanging="360"/>
      </w:pPr>
      <w:rPr>
        <w:rFonts w:ascii="Calibri" w:eastAsia="Times New Roman" w:hAnsi="Calibri" w:cs="Calibri" w:hint="default"/>
        <w:color w:val="00000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1281335">
    <w:abstractNumId w:val="0"/>
  </w:num>
  <w:num w:numId="2" w16cid:durableId="704982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381"/>
    <w:rsid w:val="00712381"/>
    <w:rsid w:val="00771332"/>
    <w:rsid w:val="00877578"/>
    <w:rsid w:val="00C27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E438"/>
  <w15:docId w15:val="{1F1F3097-BE16-4A87-99CC-D7BA3957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F5496" w:themeColor="accent1" w:themeShade="BF"/>
    </w:rPr>
  </w:style>
  <w:style w:type="character" w:customStyle="1" w:styleId="EndnoteTextChar">
    <w:name w:val="Endnote Text Char"/>
    <w:basedOn w:val="Policepardfaut"/>
    <w:uiPriority w:val="99"/>
    <w:semiHidden/>
    <w:rPr>
      <w:sz w:val="20"/>
      <w:szCs w:val="20"/>
    </w:r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2F5496"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2F5496"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2F5496"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fontstyle01">
    <w:name w:val="fontstyle01"/>
    <w:basedOn w:val="Policepardfaut"/>
    <w:rPr>
      <w:rFonts w:ascii="Calibri" w:hAnsi="Calibri" w:cs="Calibri" w:hint="default"/>
      <w:b w:val="0"/>
      <w:bCs w:val="0"/>
      <w:i/>
      <w:iCs/>
      <w:color w:val="000000"/>
      <w:sz w:val="22"/>
      <w:szCs w:val="22"/>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docdata">
    <w:name w:val="docdata"/>
    <w:basedOn w:val="Policepardfaut"/>
  </w:style>
  <w:style w:type="character" w:styleId="Appelnotedebasdep">
    <w:name w:val="footnote reference"/>
    <w:basedOn w:val="Policepardfaut"/>
    <w:uiPriority w:val="99"/>
    <w:semiHidden/>
    <w:unhideWhenUsed/>
  </w:style>
  <w:style w:type="paragraph" w:styleId="Notedebasdepage">
    <w:name w:val="footnote text"/>
    <w:basedOn w:val="Normal"/>
    <w:link w:val="NotedebasdepageCar"/>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onore.loiseau@inrae.fr" TargetMode="External"/><Relationship Id="rId3" Type="http://schemas.openxmlformats.org/officeDocument/2006/relationships/settings" Target="settings.xml"/><Relationship Id="rId7" Type="http://schemas.openxmlformats.org/officeDocument/2006/relationships/hyperlink" Target="mailto:Aurelie.wilfart@inra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2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775</Words>
  <Characters>4266</Characters>
  <Application>Microsoft Office Word</Application>
  <DocSecurity>0</DocSecurity>
  <Lines>35</Lines>
  <Paragraphs>10</Paragraphs>
  <ScaleCrop>false</ScaleCrop>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Wilfart</dc:creator>
  <cp:keywords/>
  <dc:description/>
  <cp:lastModifiedBy>Eleonore Loiseau</cp:lastModifiedBy>
  <cp:revision>2</cp:revision>
  <dcterms:created xsi:type="dcterms:W3CDTF">2026-01-07T08:40:00Z</dcterms:created>
  <dcterms:modified xsi:type="dcterms:W3CDTF">2026-01-07T08:40:00Z</dcterms:modified>
</cp:coreProperties>
</file>